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MANIFIESTO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 actual pandemia de la COVID-19 ha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profundizado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la situación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vulnerabilidad social y económica en la que viven millones de personas en España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Las organizaciones abajo firmantes consideramos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disponer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una Renta Mínima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debe ser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un derecho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de las personas que se encuentran en situación de mayor vulnerabilidad,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para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el desarrollo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la vida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en condiciones básicas de dignidad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y bienesta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 un requisito indispensable para que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personas y familias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 mayores dificultades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puedan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cubrir sus necesidades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así como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participar y contribuir a la sociedad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en la que viven. </w:t>
      </w:r>
      <w:r w:rsidDel="00000000" w:rsidR="00000000" w:rsidRPr="00000000">
        <w:rPr>
          <w:sz w:val="20"/>
          <w:szCs w:val="20"/>
          <w:rtl w:val="0"/>
        </w:rPr>
        <w:t xml:space="preserve">Por tanto, resulta fundamental para </w:t>
      </w:r>
      <w:r w:rsidDel="00000000" w:rsidR="00000000" w:rsidRPr="00000000">
        <w:rPr>
          <w:sz w:val="20"/>
          <w:szCs w:val="20"/>
          <w:rtl w:val="0"/>
        </w:rPr>
        <w:t xml:space="preserve">hacer frente a la pobreza </w:t>
      </w:r>
      <w:r w:rsidDel="00000000" w:rsidR="00000000" w:rsidRPr="00000000">
        <w:rPr>
          <w:sz w:val="20"/>
          <w:szCs w:val="20"/>
          <w:rtl w:val="0"/>
        </w:rPr>
        <w:t xml:space="preserve">severa </w:t>
      </w:r>
      <w:r w:rsidDel="00000000" w:rsidR="00000000" w:rsidRPr="00000000">
        <w:rPr>
          <w:sz w:val="20"/>
          <w:szCs w:val="20"/>
          <w:rtl w:val="0"/>
        </w:rPr>
        <w:t xml:space="preserve">y poder salir de la exclusión social.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Pilar Europeo de Derechos Sociales define la renta mínima como la prestación adecuada que garantiza una vida digna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durante todas las etapas de la vida, así como el acceso a bienes y servicios de capacitación a los que tiene derecho cualquier persona que no disponga de suficientes recursos.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Renta Mínima Estatal beneficiaría a millones de personas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que antes de la pandemia ya se encontraban en situación de gran precariedad, a las que se sumarían quienes a consecuencia de la COVID-19 ahora se encuentran bajo el umbral de pobreza.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Actualmente,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casi 600.000 familias carecen de ingresos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y hay que recordar que antes de la pandemia un 26% de la población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vivía en riesgo de pobreza y exclusión social en España, mientras la pobreza severa afectaba a más de 2,5 millones de personas.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Disponer de un ingreso estable y de fácil acceso y gestión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permitiría reactivar el  proceso de inclusión social de las personas que viven esta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realidad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Y en ese sentido, defendemos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Renta Mínima Estatal como un derecho subjetivo y compatible con los sistemas de ingreso mínimo de las Comunidades Autónomas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estableciendo una base mínima, que puede ser ampliada por los gobiernos autonómicos, según sus criterios.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strike w:val="1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 embargo,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defensa del derecho a salir de la pobreza a través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esta herramienta, que consideramos fundamental para </w:t>
      </w:r>
      <w:r w:rsidDel="00000000" w:rsidR="00000000" w:rsidRPr="00000000">
        <w:rPr>
          <w:b w:val="1"/>
          <w:sz w:val="20"/>
          <w:szCs w:val="20"/>
          <w:rtl w:val="0"/>
        </w:rPr>
        <w:t xml:space="preserve">mejorar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vida de las personas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 está utilizando también para fomentar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 polarización social, </w:t>
      </w:r>
      <w:r w:rsidDel="00000000" w:rsidR="00000000" w:rsidRPr="00000000">
        <w:rPr>
          <w:b w:val="1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discurso de odio y la aporofobia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Se han producido reacciones que refuerzan los prejuicios y discriminación sobre las personas que podrían beneficiarse de la misma, menoscabando su dignidad.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 podemos permitir un paso atrás en la defensa de derechos básicos de las personas en riesgo de pobreza y/o exclusión social, ni mucho menos en la defensa de su dignidad.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  <w:b w:val="1"/>
          <w:strike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Por ese motivo, y frente a la falsa imagen que transmiten los prejuicios y el odio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queremos dejar claro que la renta mínima que proponemos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 supone un gasto, sino una inversión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para la inclusión social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y fundamento de desarrollo económico sostenible.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Es una medida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eficiencia económica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que contribuirá, en un primer momento,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 paliar las necesidades de emergencia de las personas en situación de mayor vulnerabilidad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y, a medio y largo plazo, a dar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estabilidad económica y bienestar a las personas, para que puedan alcanzar el máximo potencial de su capital humano.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60" w:before="260"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rganizaciones de acción social y cooperación al desarrollo de toda España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reiteramos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que disponer de un ingreso digno es un derecho que consideramos fundamental para el desarrollo individual y familiar. En este sentido, la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enta Mínima estatal debe: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60" w:line="36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Eliminar la pobreza severa y reducir la pobreza relativa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proporcionando a los hogares sin ingresos o con ingresos por debajo del umbral de la pobreza, una renta que les permita salir de tal situación.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Eliminar la pobreza infantil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mediante un complemento por hijo/a a cargo, para todos los hogares que estén por debajo del umbral de pobreza.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Asegurar una vivienda digna para los hogares en pobreza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mediante un complemento por vivienda, en los casos en los que no se disponga de una vivienda adecuada.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Incrementar la inclusión social, estableciendo itinerarios sociolaborales personalizados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con perspectiva de género, para favorecer la reincorporación al mercado de trabajo de las personas beneficiarias que estén en condiciones de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trabajar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460" w:before="0" w:beforeAutospacing="0" w:line="360" w:lineRule="auto"/>
        <w:ind w:left="720" w:hanging="36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Debe ser un sistema ágil y accesible que permita que cualquier persona que lo necesite pueda acceder y desarrollar el proceso de solicitud sin trabas burocráticas, y asegurando que se dispone de los apoyos necesarios para atender cualquier dificultad de comprensión y conexión digital.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exclusión social y la desigualdad en España constituyen problemas profundos y multidimensionales,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que requieren de una acción política decidida para ser erradicadas. Ha llegado la hora de concretar acciones que cambien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positiva y eficazmente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el destino de millones de personas.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Una Renta Mínima Estatal es más necesaria que nunca.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Pon tus prejuicios en cuarentena.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Defendemos el derecho de las personas a la garantía de ingresos para una vida digna. Actívate contra la Pobreza.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Roboto" w:cs="Roboto" w:eastAsia="Roboto" w:hAnsi="Roboto"/>
          <w:b w:val="1"/>
          <w:color w:val="ff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entury Gothic" w:cs="Century Gothic" w:eastAsia="Century Gothic" w:hAnsi="Century Gothic"/>
          <w:b w:val="1"/>
          <w:color w:val="ff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1"/>
          <w:szCs w:val="21"/>
          <w:highlight w:val="white"/>
          <w:rtl w:val="0"/>
        </w:rPr>
        <w:t xml:space="preserve">#RentaMínimaSí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ADHESIONES:</w:t>
      </w:r>
    </w:p>
    <w:p w:rsidR="00000000" w:rsidDel="00000000" w:rsidP="00000000" w:rsidRDefault="00000000" w:rsidRPr="00000000" w14:paraId="00000022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  <w:sz w:val="28"/>
        <w:szCs w:val="28"/>
      </w:rPr>
    </w:pPr>
    <w:r w:rsidDel="00000000" w:rsidR="00000000" w:rsidRPr="00000000">
      <w:rPr>
        <w:rFonts w:ascii="Raleway" w:cs="Raleway" w:eastAsia="Raleway" w:hAnsi="Raleway"/>
        <w:sz w:val="22"/>
        <w:szCs w:val="22"/>
      </w:rPr>
      <w:drawing>
        <wp:inline distB="114300" distT="114300" distL="114300" distR="114300">
          <wp:extent cx="1814513" cy="12990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513" cy="12990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ff0000"/>
        <w:sz w:val="48"/>
        <w:szCs w:val="48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s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